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1F" w:rsidRDefault="000A581F" w:rsidP="000A581F">
      <w:pPr>
        <w:jc w:val="center"/>
        <w:rPr>
          <w:b/>
          <w:bCs/>
          <w:iCs/>
          <w:color w:val="000000"/>
          <w:sz w:val="28"/>
          <w:szCs w:val="28"/>
        </w:rPr>
      </w:pPr>
      <w:r>
        <w:rPr>
          <w:b/>
          <w:noProof/>
          <w:color w:val="000000"/>
          <w:sz w:val="28"/>
          <w:szCs w:val="28"/>
        </w:rPr>
        <w:drawing>
          <wp:inline distT="0" distB="0" distL="0" distR="0">
            <wp:extent cx="1897380" cy="1013460"/>
            <wp:effectExtent l="0" t="0" r="7620" b="0"/>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7380" cy="1013460"/>
                    </a:xfrm>
                    <a:prstGeom prst="rect">
                      <a:avLst/>
                    </a:prstGeom>
                    <a:noFill/>
                    <a:ln>
                      <a:noFill/>
                    </a:ln>
                  </pic:spPr>
                </pic:pic>
              </a:graphicData>
            </a:graphic>
          </wp:inline>
        </w:drawing>
      </w:r>
    </w:p>
    <w:p w:rsidR="000A581F" w:rsidRDefault="000A581F" w:rsidP="000A581F">
      <w:pPr>
        <w:rPr>
          <w:b/>
          <w:bCs/>
          <w:iCs/>
          <w:color w:val="000000"/>
          <w:sz w:val="12"/>
          <w:szCs w:val="12"/>
        </w:rPr>
      </w:pPr>
    </w:p>
    <w:p w:rsidR="000A581F" w:rsidRDefault="000A581F" w:rsidP="000A581F">
      <w:pPr>
        <w:jc w:val="center"/>
        <w:rPr>
          <w:rFonts w:ascii="Arial" w:hAnsi="Arial" w:cs="Arial"/>
          <w:b/>
          <w:bCs/>
          <w:i/>
          <w:iCs/>
          <w:color w:val="000000"/>
          <w:sz w:val="28"/>
          <w:szCs w:val="28"/>
        </w:rPr>
      </w:pPr>
      <w:r>
        <w:rPr>
          <w:rFonts w:ascii="Arial" w:hAnsi="Arial" w:cs="Arial"/>
          <w:b/>
          <w:bCs/>
          <w:i/>
          <w:iCs/>
          <w:color w:val="000000"/>
          <w:sz w:val="28"/>
          <w:szCs w:val="28"/>
        </w:rPr>
        <w:t>Village Of Oxford</w:t>
      </w:r>
    </w:p>
    <w:p w:rsidR="000A581F" w:rsidRDefault="000A581F" w:rsidP="000A581F">
      <w:pPr>
        <w:rPr>
          <w:rFonts w:ascii="Arial" w:hAnsi="Arial" w:cs="Arial"/>
          <w:sz w:val="12"/>
          <w:szCs w:val="12"/>
        </w:rPr>
      </w:pPr>
    </w:p>
    <w:p w:rsidR="000A581F" w:rsidRDefault="000A581F" w:rsidP="000A581F">
      <w:pPr>
        <w:jc w:val="center"/>
        <w:rPr>
          <w:rFonts w:ascii="Arial" w:hAnsi="Arial" w:cs="Arial"/>
          <w:b/>
          <w:bCs/>
          <w:color w:val="000000"/>
          <w:sz w:val="20"/>
          <w:szCs w:val="20"/>
        </w:rPr>
      </w:pPr>
      <w:r>
        <w:rPr>
          <w:rFonts w:ascii="Arial" w:hAnsi="Arial" w:cs="Arial"/>
          <w:b/>
          <w:bCs/>
          <w:color w:val="000000"/>
          <w:sz w:val="20"/>
          <w:szCs w:val="20"/>
        </w:rPr>
        <w:t>Annual Water Quality Report</w:t>
      </w:r>
    </w:p>
    <w:p w:rsidR="000A581F" w:rsidRDefault="000A581F" w:rsidP="000A581F">
      <w:pPr>
        <w:jc w:val="center"/>
        <w:rPr>
          <w:rFonts w:ascii="Arial" w:hAnsi="Arial" w:cs="Arial"/>
          <w:b/>
          <w:bCs/>
          <w:color w:val="000000"/>
          <w:sz w:val="18"/>
          <w:szCs w:val="18"/>
        </w:rPr>
      </w:pPr>
      <w:r>
        <w:rPr>
          <w:rFonts w:ascii="Arial" w:hAnsi="Arial" w:cs="Arial"/>
          <w:b/>
          <w:bCs/>
          <w:color w:val="000000"/>
          <w:sz w:val="18"/>
          <w:szCs w:val="18"/>
        </w:rPr>
        <w:t>For January 1 to December 31, 2020</w:t>
      </w:r>
    </w:p>
    <w:p w:rsidR="000A581F" w:rsidRDefault="000A581F" w:rsidP="000A581F">
      <w:pPr>
        <w:rPr>
          <w:rFonts w:ascii="Arial" w:hAnsi="Arial" w:cs="Arial"/>
          <w:sz w:val="12"/>
          <w:szCs w:val="12"/>
        </w:rPr>
      </w:pPr>
    </w:p>
    <w:p w:rsidR="000A581F" w:rsidRDefault="000A581F" w:rsidP="000A581F">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Oxford </w:t>
      </w:r>
      <w:r>
        <w:rPr>
          <w:rFonts w:ascii="Arial" w:hAnsi="Arial" w:cs="Arial"/>
          <w:color w:val="000000"/>
          <w:sz w:val="15"/>
          <w:szCs w:val="15"/>
        </w:rPr>
        <w:t>water system to provide safe drinking water.</w:t>
      </w:r>
    </w:p>
    <w:p w:rsidR="000A581F" w:rsidRDefault="000A581F" w:rsidP="000A581F">
      <w:pPr>
        <w:rPr>
          <w:rFonts w:ascii="Arial" w:hAnsi="Arial" w:cs="Arial"/>
          <w:color w:val="000000"/>
          <w:sz w:val="12"/>
          <w:szCs w:val="12"/>
        </w:rPr>
      </w:pPr>
    </w:p>
    <w:p w:rsidR="000A581F" w:rsidRDefault="000A581F" w:rsidP="000A581F">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Que</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w:t>
      </w:r>
      <w:proofErr w:type="spellStart"/>
      <w:r>
        <w:rPr>
          <w:rFonts w:ascii="Arial" w:hAnsi="Arial" w:cs="Arial"/>
          <w:color w:val="000000"/>
          <w:sz w:val="14"/>
          <w:szCs w:val="14"/>
        </w:rPr>
        <w:t>que</w:t>
      </w:r>
      <w:proofErr w:type="spellEnd"/>
      <w:r>
        <w:rPr>
          <w:rFonts w:ascii="Arial" w:hAnsi="Arial" w:cs="Arial"/>
          <w:color w:val="000000"/>
          <w:sz w:val="14"/>
          <w:szCs w:val="14"/>
        </w:rPr>
        <w:t xml:space="preserv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w:t>
      </w:r>
      <w:proofErr w:type="spellStart"/>
      <w:r>
        <w:rPr>
          <w:rFonts w:ascii="Arial" w:hAnsi="Arial" w:cs="Arial"/>
          <w:color w:val="000000"/>
          <w:sz w:val="14"/>
          <w:szCs w:val="14"/>
        </w:rPr>
        <w:t>que</w:t>
      </w:r>
      <w:proofErr w:type="spellEnd"/>
      <w:r>
        <w:rPr>
          <w:rFonts w:ascii="Arial" w:hAnsi="Arial" w:cs="Arial"/>
          <w:color w:val="000000"/>
          <w:sz w:val="14"/>
          <w:szCs w:val="14"/>
        </w:rPr>
        <w:t xml:space="preserv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w:t>
      </w:r>
      <w:proofErr w:type="spellStart"/>
      <w:r>
        <w:rPr>
          <w:rFonts w:ascii="Arial" w:hAnsi="Arial" w:cs="Arial"/>
          <w:color w:val="000000"/>
          <w:sz w:val="14"/>
          <w:szCs w:val="14"/>
        </w:rPr>
        <w:t>bien</w:t>
      </w:r>
      <w:proofErr w:type="spellEnd"/>
      <w:r>
        <w:rPr>
          <w:rFonts w:ascii="Arial" w:hAnsi="Arial" w:cs="Arial"/>
          <w:color w:val="000000"/>
          <w:sz w:val="14"/>
          <w:szCs w:val="14"/>
        </w:rPr>
        <w:t>.</w:t>
      </w:r>
    </w:p>
    <w:p w:rsidR="000A581F" w:rsidRDefault="000A581F" w:rsidP="000A581F">
      <w:pPr>
        <w:rPr>
          <w:rFonts w:ascii="Arial" w:hAnsi="Arial" w:cs="Arial"/>
          <w:sz w:val="12"/>
          <w:szCs w:val="12"/>
        </w:rPr>
      </w:pPr>
    </w:p>
    <w:p w:rsidR="000A581F" w:rsidRDefault="000A581F" w:rsidP="000A581F">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rsidR="000A581F" w:rsidRDefault="000A581F" w:rsidP="000A581F">
      <w:pPr>
        <w:rPr>
          <w:rFonts w:ascii="Arial" w:hAnsi="Arial" w:cs="Arial"/>
          <w:color w:val="000000"/>
          <w:sz w:val="12"/>
          <w:szCs w:val="12"/>
        </w:rPr>
      </w:pPr>
    </w:p>
    <w:p w:rsidR="000A581F" w:rsidRDefault="000A581F" w:rsidP="000A581F">
      <w:pPr>
        <w:jc w:val="center"/>
        <w:rPr>
          <w:rFonts w:ascii="Arial" w:hAnsi="Arial" w:cs="Arial"/>
          <w:b/>
          <w:color w:val="000000"/>
          <w:sz w:val="16"/>
          <w:szCs w:val="16"/>
          <w:lang w:bidi="en-US"/>
        </w:rPr>
      </w:pPr>
      <w:r>
        <w:rPr>
          <w:rFonts w:ascii="Arial" w:hAnsi="Arial" w:cs="Arial"/>
          <w:b/>
          <w:color w:val="000000"/>
          <w:sz w:val="16"/>
          <w:szCs w:val="16"/>
          <w:lang w:bidi="en-US"/>
        </w:rPr>
        <w:t>ED L HAMILTON</w:t>
      </w:r>
    </w:p>
    <w:p w:rsidR="000A581F" w:rsidRDefault="000A581F" w:rsidP="000A581F">
      <w:pPr>
        <w:jc w:val="center"/>
        <w:rPr>
          <w:rFonts w:ascii="Arial" w:hAnsi="Arial" w:cs="Arial"/>
          <w:b/>
          <w:color w:val="000000"/>
          <w:sz w:val="16"/>
          <w:szCs w:val="16"/>
        </w:rPr>
      </w:pPr>
      <w:r>
        <w:rPr>
          <w:rFonts w:ascii="Arial" w:hAnsi="Arial" w:cs="Arial"/>
          <w:b/>
          <w:color w:val="000000"/>
          <w:sz w:val="16"/>
          <w:szCs w:val="16"/>
        </w:rPr>
        <w:t>308-824-3511</w:t>
      </w:r>
    </w:p>
    <w:p w:rsidR="000A581F" w:rsidRDefault="000A581F" w:rsidP="000A581F">
      <w:pPr>
        <w:rPr>
          <w:rFonts w:ascii="Arial" w:hAnsi="Arial" w:cs="Arial"/>
          <w:color w:val="000000"/>
          <w:sz w:val="12"/>
          <w:szCs w:val="12"/>
        </w:rPr>
      </w:pPr>
    </w:p>
    <w:p w:rsidR="000A581F" w:rsidRDefault="000A581F" w:rsidP="000A581F">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rsidR="000A581F" w:rsidRDefault="000A581F" w:rsidP="000A581F">
      <w:pPr>
        <w:rPr>
          <w:rFonts w:ascii="Arial" w:hAnsi="Arial" w:cs="Arial"/>
          <w:sz w:val="12"/>
          <w:szCs w:val="12"/>
        </w:rPr>
      </w:pPr>
    </w:p>
    <w:p w:rsidR="000A581F" w:rsidRDefault="000A581F" w:rsidP="000A581F">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rsidR="000A581F" w:rsidRDefault="000A581F" w:rsidP="000A581F">
      <w:pPr>
        <w:rPr>
          <w:rFonts w:ascii="Arial" w:hAnsi="Arial" w:cs="Arial"/>
          <w:sz w:val="12"/>
          <w:szCs w:val="12"/>
        </w:rPr>
      </w:pPr>
    </w:p>
    <w:p w:rsidR="000A581F" w:rsidRDefault="000A581F" w:rsidP="000A581F">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rsidR="000A581F" w:rsidRDefault="000A581F" w:rsidP="000A581F">
      <w:pPr>
        <w:rPr>
          <w:rFonts w:ascii="Arial" w:hAnsi="Arial" w:cs="Arial"/>
          <w:color w:val="000000"/>
          <w:sz w:val="12"/>
          <w:szCs w:val="12"/>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NDEQ at (402) 471-3376 or </w:t>
      </w:r>
      <w:r>
        <w:rPr>
          <w:rFonts w:ascii="Arial" w:hAnsi="Arial" w:cs="Arial"/>
          <w:sz w:val="15"/>
          <w:szCs w:val="15"/>
        </w:rPr>
        <w:t xml:space="preserve">go to </w:t>
      </w:r>
      <w:hyperlink r:id="rId7" w:history="1">
        <w:r>
          <w:rPr>
            <w:rStyle w:val="Hyperlink"/>
            <w:rFonts w:ascii="Arial" w:hAnsi="Arial" w:cs="Arial"/>
            <w:sz w:val="15"/>
            <w:szCs w:val="15"/>
          </w:rPr>
          <w:t>http://deq.ne.gov</w:t>
        </w:r>
      </w:hyperlink>
      <w:r>
        <w:rPr>
          <w:rFonts w:ascii="Arial" w:hAnsi="Arial" w:cs="Arial"/>
          <w:sz w:val="15"/>
          <w:szCs w:val="15"/>
        </w:rPr>
        <w:t>.</w:t>
      </w:r>
    </w:p>
    <w:p w:rsidR="000A581F" w:rsidRDefault="000A581F" w:rsidP="000A581F">
      <w:pPr>
        <w:rPr>
          <w:rFonts w:ascii="Arial" w:hAnsi="Arial" w:cs="Arial"/>
          <w:color w:val="000000"/>
          <w:sz w:val="12"/>
          <w:szCs w:val="12"/>
        </w:rPr>
      </w:pPr>
    </w:p>
    <w:p w:rsidR="000A581F" w:rsidRDefault="000A581F" w:rsidP="000A581F">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0A581F" w:rsidRDefault="000A581F" w:rsidP="000A581F">
      <w:pPr>
        <w:rPr>
          <w:rFonts w:ascii="Arial" w:hAnsi="Arial" w:cs="Arial"/>
          <w:color w:val="000000"/>
          <w:sz w:val="12"/>
          <w:szCs w:val="12"/>
        </w:rPr>
      </w:pPr>
    </w:p>
    <w:p w:rsidR="000A581F" w:rsidRDefault="000A581F" w:rsidP="000A581F">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rsidR="000A581F" w:rsidRDefault="000A581F" w:rsidP="000A581F">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naturally-occurring minerals and, in some cases, radioactive material, and can pick up </w:t>
      </w:r>
      <w:r>
        <w:rPr>
          <w:rFonts w:ascii="Arial" w:hAnsi="Arial" w:cs="Arial"/>
          <w:color w:val="000000"/>
          <w:sz w:val="15"/>
          <w:szCs w:val="15"/>
        </w:rPr>
        <w:lastRenderedPageBreak/>
        <w:t>substances resulting from the presence of animals or from human activity.</w:t>
      </w:r>
    </w:p>
    <w:p w:rsidR="000A581F" w:rsidRDefault="000A581F" w:rsidP="000A581F">
      <w:pPr>
        <w:rPr>
          <w:rFonts w:ascii="Arial" w:hAnsi="Arial" w:cs="Arial"/>
          <w:color w:val="000000"/>
          <w:sz w:val="12"/>
          <w:szCs w:val="12"/>
          <w:lang w:bidi="en-US"/>
        </w:rPr>
      </w:pPr>
    </w:p>
    <w:p w:rsidR="000A581F" w:rsidRDefault="000A581F" w:rsidP="000A581F">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Oxford is ground water.  </w:t>
      </w:r>
    </w:p>
    <w:p w:rsidR="000A581F" w:rsidRDefault="000A581F" w:rsidP="000A581F">
      <w:pPr>
        <w:rPr>
          <w:rFonts w:ascii="Arial" w:hAnsi="Arial" w:cs="Arial"/>
          <w:color w:val="000000"/>
          <w:sz w:val="15"/>
          <w:szCs w:val="15"/>
          <w:lang w:bidi="en-US"/>
        </w:rPr>
      </w:pPr>
      <w:bookmarkStart w:id="0" w:name="TABLE_SELLERRELATION"/>
      <w:bookmarkEnd w:id="0"/>
      <w:r>
        <w:rPr>
          <w:rFonts w:ascii="Arial" w:hAnsi="Arial" w:cs="Arial"/>
          <w:color w:val="000000"/>
          <w:sz w:val="15"/>
          <w:szCs w:val="15"/>
          <w:lang w:bidi="en-US"/>
        </w:rPr>
        <w:t xml:space="preserve"> </w:t>
      </w:r>
    </w:p>
    <w:p w:rsidR="000A581F" w:rsidRDefault="000A581F" w:rsidP="000A581F">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rsidR="000A581F" w:rsidRDefault="000A581F" w:rsidP="000A581F">
      <w:pPr>
        <w:rPr>
          <w:rFonts w:ascii="Arial" w:hAnsi="Arial" w:cs="Arial"/>
          <w:color w:val="000000"/>
          <w:sz w:val="15"/>
          <w:szCs w:val="15"/>
        </w:rPr>
      </w:pPr>
      <w:proofErr w:type="gramStart"/>
      <w:r>
        <w:rPr>
          <w:rFonts w:ascii="Arial" w:hAnsi="Arial" w:cs="Arial"/>
          <w:color w:val="000000"/>
          <w:sz w:val="15"/>
          <w:szCs w:val="15"/>
        </w:rPr>
        <w:t>*  Microbial</w:t>
      </w:r>
      <w:proofErr w:type="gramEnd"/>
      <w:r>
        <w:rPr>
          <w:rFonts w:ascii="Arial" w:hAnsi="Arial" w:cs="Arial"/>
          <w:color w:val="000000"/>
          <w:sz w:val="15"/>
          <w:szCs w:val="15"/>
        </w:rPr>
        <w:t xml:space="preserve"> contaminants, such as viruses and bacteria, which may come from sewage treatment plants, septic systems, agricultural livestock operations and wildlife.</w:t>
      </w:r>
    </w:p>
    <w:p w:rsidR="000A581F" w:rsidRDefault="000A581F" w:rsidP="000A581F">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rsidR="000A581F" w:rsidRDefault="000A581F" w:rsidP="000A581F">
      <w:pPr>
        <w:rPr>
          <w:rFonts w:ascii="Arial" w:hAnsi="Arial" w:cs="Arial"/>
          <w:color w:val="000000"/>
          <w:sz w:val="15"/>
          <w:szCs w:val="15"/>
        </w:rPr>
      </w:pPr>
      <w:proofErr w:type="gramStart"/>
      <w:r>
        <w:rPr>
          <w:rFonts w:ascii="Arial" w:hAnsi="Arial" w:cs="Arial"/>
          <w:color w:val="000000"/>
          <w:sz w:val="15"/>
          <w:szCs w:val="15"/>
        </w:rPr>
        <w:t>*  Pesticides</w:t>
      </w:r>
      <w:proofErr w:type="gramEnd"/>
      <w:r>
        <w:rPr>
          <w:rFonts w:ascii="Arial" w:hAnsi="Arial" w:cs="Arial"/>
          <w:color w:val="000000"/>
          <w:sz w:val="15"/>
          <w:szCs w:val="15"/>
        </w:rPr>
        <w:t xml:space="preserve"> and herbicides, which may come from a variety of sources such as agriculture, urban storm water runoff, and residential uses.</w:t>
      </w:r>
    </w:p>
    <w:p w:rsidR="000A581F" w:rsidRDefault="000A581F" w:rsidP="000A581F">
      <w:pPr>
        <w:rPr>
          <w:rFonts w:ascii="Arial" w:hAnsi="Arial" w:cs="Arial"/>
          <w:color w:val="000000"/>
          <w:sz w:val="15"/>
          <w:szCs w:val="15"/>
        </w:rPr>
      </w:pPr>
      <w:proofErr w:type="gramStart"/>
      <w:r>
        <w:rPr>
          <w:rFonts w:ascii="Arial" w:hAnsi="Arial" w:cs="Arial"/>
          <w:color w:val="000000"/>
          <w:sz w:val="15"/>
          <w:szCs w:val="15"/>
        </w:rPr>
        <w:t>*  Organic</w:t>
      </w:r>
      <w:proofErr w:type="gramEnd"/>
      <w:r>
        <w:rPr>
          <w:rFonts w:ascii="Arial" w:hAnsi="Arial" w:cs="Arial"/>
          <w:color w:val="000000"/>
          <w:sz w:val="15"/>
          <w:szCs w:val="15"/>
        </w:rPr>
        <w:t xml:space="preserve"> chemical contaminants, including synthetic and volatile organic chemicals, which are by-products of industrial processes and petroleum production, and can also come from gas stations, urban storm water runoff, and septic systems.</w:t>
      </w:r>
    </w:p>
    <w:p w:rsidR="000A581F" w:rsidRDefault="000A581F" w:rsidP="000A581F">
      <w:pPr>
        <w:rPr>
          <w:rFonts w:ascii="Arial" w:hAnsi="Arial" w:cs="Arial"/>
          <w:color w:val="000000"/>
          <w:sz w:val="15"/>
          <w:szCs w:val="15"/>
        </w:rPr>
      </w:pPr>
      <w:proofErr w:type="gramStart"/>
      <w:r>
        <w:rPr>
          <w:rFonts w:ascii="Arial" w:hAnsi="Arial" w:cs="Arial"/>
          <w:color w:val="000000"/>
          <w:sz w:val="15"/>
          <w:szCs w:val="15"/>
        </w:rPr>
        <w:t>*  Radioactive</w:t>
      </w:r>
      <w:proofErr w:type="gramEnd"/>
      <w:r>
        <w:rPr>
          <w:rFonts w:ascii="Arial" w:hAnsi="Arial" w:cs="Arial"/>
          <w:color w:val="000000"/>
          <w:sz w:val="15"/>
          <w:szCs w:val="15"/>
        </w:rPr>
        <w:t xml:space="preserve"> contaminants, which can be naturally-occurring or be the result of oil and gas production and mining activities.</w:t>
      </w:r>
    </w:p>
    <w:p w:rsidR="000A581F" w:rsidRDefault="000A581F" w:rsidP="000A581F">
      <w:pPr>
        <w:rPr>
          <w:rFonts w:ascii="Arial" w:hAnsi="Arial" w:cs="Arial"/>
          <w:sz w:val="12"/>
          <w:szCs w:val="12"/>
        </w:rPr>
      </w:pPr>
    </w:p>
    <w:p w:rsidR="000A581F" w:rsidRDefault="000A581F" w:rsidP="000A581F">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rsidR="000A581F" w:rsidRDefault="000A581F" w:rsidP="000A581F">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402-471-2186.</w:t>
      </w:r>
    </w:p>
    <w:p w:rsidR="000A581F" w:rsidRDefault="000A581F" w:rsidP="000A581F">
      <w:pPr>
        <w:rPr>
          <w:rFonts w:ascii="Arial" w:hAnsi="Arial" w:cs="Arial"/>
          <w:color w:val="000000"/>
          <w:sz w:val="12"/>
          <w:szCs w:val="12"/>
        </w:rPr>
      </w:pPr>
    </w:p>
    <w:p w:rsidR="000A581F" w:rsidRDefault="000A581F" w:rsidP="000A581F">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(402-471-1008).</w:t>
      </w:r>
    </w:p>
    <w:p w:rsidR="000A581F" w:rsidRDefault="000A581F" w:rsidP="000A581F">
      <w:pPr>
        <w:rPr>
          <w:rFonts w:ascii="Arial" w:hAnsi="Arial" w:cs="Arial"/>
          <w:color w:val="000000"/>
          <w:sz w:val="12"/>
          <w:szCs w:val="12"/>
        </w:rPr>
      </w:pPr>
    </w:p>
    <w:p w:rsidR="000A581F" w:rsidRDefault="000A581F" w:rsidP="000A581F">
      <w:pPr>
        <w:rPr>
          <w:rFonts w:ascii="Arial" w:hAnsi="Arial" w:cs="Arial"/>
          <w:color w:val="000000"/>
          <w:sz w:val="14"/>
          <w:szCs w:val="14"/>
        </w:rPr>
      </w:pPr>
      <w:r>
        <w:rPr>
          <w:rFonts w:ascii="Arial" w:hAnsi="Arial" w:cs="Arial"/>
          <w:color w:val="000000"/>
          <w:sz w:val="14"/>
          <w:szCs w:val="14"/>
        </w:rPr>
        <w:t xml:space="preserve">The Village Of Oxford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w:t>
      </w:r>
      <w:proofErr w:type="spellStart"/>
      <w:r>
        <w:rPr>
          <w:rFonts w:ascii="Arial" w:hAnsi="Arial" w:cs="Arial"/>
          <w:color w:val="000000"/>
          <w:sz w:val="13"/>
          <w:szCs w:val="13"/>
        </w:rPr>
        <w:t>Alachlor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Atrazine</w:t>
      </w:r>
      <w:proofErr w:type="spellEnd"/>
      <w:r>
        <w:rPr>
          <w:rFonts w:ascii="Arial" w:hAnsi="Arial" w:cs="Arial"/>
          <w:color w:val="000000"/>
          <w:sz w:val="13"/>
          <w:szCs w:val="13"/>
        </w:rPr>
        <w:t xml:space="preserve">, </w:t>
      </w:r>
      <w:proofErr w:type="spellStart"/>
      <w:r>
        <w:rPr>
          <w:rFonts w:ascii="Arial" w:hAnsi="Arial" w:cs="Arial"/>
          <w:color w:val="000000"/>
          <w:sz w:val="13"/>
          <w:szCs w:val="13"/>
        </w:rPr>
        <w:t>Benzo</w:t>
      </w:r>
      <w:proofErr w:type="spellEnd"/>
      <w:r>
        <w:rPr>
          <w:rFonts w:ascii="Arial" w:hAnsi="Arial" w:cs="Arial"/>
          <w:color w:val="000000"/>
          <w:sz w:val="13"/>
          <w:szCs w:val="13"/>
        </w:rPr>
        <w:t>(a)</w:t>
      </w:r>
      <w:proofErr w:type="spellStart"/>
      <w:r>
        <w:rPr>
          <w:rFonts w:ascii="Arial" w:hAnsi="Arial" w:cs="Arial"/>
          <w:color w:val="000000"/>
          <w:sz w:val="13"/>
          <w:szCs w:val="13"/>
        </w:rPr>
        <w:t>pyrene</w:t>
      </w:r>
      <w:proofErr w:type="spellEnd"/>
      <w:r>
        <w:rPr>
          <w:rFonts w:ascii="Arial" w:hAnsi="Arial" w:cs="Arial"/>
          <w:color w:val="000000"/>
          <w:sz w:val="13"/>
          <w:szCs w:val="13"/>
        </w:rPr>
        <w:t xml:space="preserve">, </w:t>
      </w:r>
      <w:proofErr w:type="spellStart"/>
      <w:r>
        <w:rPr>
          <w:rFonts w:ascii="Arial" w:hAnsi="Arial" w:cs="Arial"/>
          <w:color w:val="000000"/>
          <w:sz w:val="13"/>
          <w:szCs w:val="13"/>
        </w:rPr>
        <w:t>Carbofuran</w:t>
      </w:r>
      <w:proofErr w:type="spellEnd"/>
      <w:r>
        <w:rPr>
          <w:rFonts w:ascii="Arial" w:hAnsi="Arial" w:cs="Arial"/>
          <w:color w:val="000000"/>
          <w:sz w:val="13"/>
          <w:szCs w:val="13"/>
        </w:rPr>
        <w:t xml:space="preserve">, Chlordane, </w:t>
      </w:r>
      <w:proofErr w:type="spellStart"/>
      <w:r>
        <w:rPr>
          <w:rFonts w:ascii="Arial" w:hAnsi="Arial" w:cs="Arial"/>
          <w:color w:val="000000"/>
          <w:sz w:val="13"/>
          <w:szCs w:val="13"/>
        </w:rPr>
        <w:t>Dalapon</w:t>
      </w:r>
      <w:proofErr w:type="spellEnd"/>
      <w:r>
        <w:rPr>
          <w:rFonts w:ascii="Arial" w:hAnsi="Arial" w:cs="Arial"/>
          <w:color w:val="000000"/>
          <w:sz w:val="13"/>
          <w:szCs w:val="13"/>
        </w:rPr>
        <w:t>, Di(2-ethylhexyl)</w:t>
      </w:r>
      <w:proofErr w:type="spellStart"/>
      <w:r>
        <w:rPr>
          <w:rFonts w:ascii="Arial" w:hAnsi="Arial" w:cs="Arial"/>
          <w:color w:val="000000"/>
          <w:sz w:val="13"/>
          <w:szCs w:val="13"/>
        </w:rPr>
        <w:t>adipate</w:t>
      </w:r>
      <w:proofErr w:type="spellEnd"/>
      <w:r>
        <w:rPr>
          <w:rFonts w:ascii="Arial" w:hAnsi="Arial" w:cs="Arial"/>
          <w:color w:val="000000"/>
          <w:sz w:val="13"/>
          <w:szCs w:val="13"/>
        </w:rPr>
        <w:t xml:space="preserv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w:t>
      </w:r>
      <w:proofErr w:type="spellStart"/>
      <w:r>
        <w:rPr>
          <w:rFonts w:ascii="Arial" w:hAnsi="Arial" w:cs="Arial"/>
          <w:color w:val="000000"/>
          <w:sz w:val="13"/>
          <w:szCs w:val="13"/>
        </w:rPr>
        <w:t>Diquat</w:t>
      </w:r>
      <w:proofErr w:type="spellEnd"/>
      <w:r>
        <w:rPr>
          <w:rFonts w:ascii="Arial" w:hAnsi="Arial" w:cs="Arial"/>
          <w:color w:val="000000"/>
          <w:sz w:val="13"/>
          <w:szCs w:val="13"/>
        </w:rPr>
        <w:t xml:space="preserve">, 2,4-D, </w:t>
      </w:r>
      <w:proofErr w:type="spellStart"/>
      <w:r>
        <w:rPr>
          <w:rFonts w:ascii="Arial" w:hAnsi="Arial" w:cs="Arial"/>
          <w:color w:val="000000"/>
          <w:sz w:val="13"/>
          <w:szCs w:val="13"/>
        </w:rPr>
        <w:t>Endothall</w:t>
      </w:r>
      <w:proofErr w:type="spellEnd"/>
      <w:r>
        <w:rPr>
          <w:rFonts w:ascii="Arial" w:hAnsi="Arial" w:cs="Arial"/>
          <w:color w:val="000000"/>
          <w:sz w:val="13"/>
          <w:szCs w:val="13"/>
        </w:rPr>
        <w:t xml:space="preserve">, </w:t>
      </w:r>
      <w:proofErr w:type="spellStart"/>
      <w:r>
        <w:rPr>
          <w:rFonts w:ascii="Arial" w:hAnsi="Arial" w:cs="Arial"/>
          <w:color w:val="000000"/>
          <w:sz w:val="13"/>
          <w:szCs w:val="13"/>
        </w:rPr>
        <w:t>Endrin</w:t>
      </w:r>
      <w:proofErr w:type="spellEnd"/>
      <w:r>
        <w:rPr>
          <w:rFonts w:ascii="Arial" w:hAnsi="Arial" w:cs="Arial"/>
          <w:color w:val="000000"/>
          <w:sz w:val="13"/>
          <w:szCs w:val="13"/>
        </w:rPr>
        <w:t xml:space="preserve">, Ethylene dibromide, </w:t>
      </w:r>
      <w:proofErr w:type="spellStart"/>
      <w:r>
        <w:rPr>
          <w:rFonts w:ascii="Arial" w:hAnsi="Arial" w:cs="Arial"/>
          <w:color w:val="000000"/>
          <w:sz w:val="13"/>
          <w:szCs w:val="13"/>
        </w:rPr>
        <w:t>Glyphosate</w:t>
      </w:r>
      <w:proofErr w:type="spellEnd"/>
      <w:r>
        <w:rPr>
          <w:rFonts w:ascii="Arial" w:hAnsi="Arial" w:cs="Arial"/>
          <w:color w:val="000000"/>
          <w:sz w:val="13"/>
          <w:szCs w:val="13"/>
        </w:rPr>
        <w:t xml:space="preserve">, Heptachlor, Heptachlor </w:t>
      </w:r>
      <w:proofErr w:type="spellStart"/>
      <w:r>
        <w:rPr>
          <w:rFonts w:ascii="Arial" w:hAnsi="Arial" w:cs="Arial"/>
          <w:color w:val="000000"/>
          <w:sz w:val="13"/>
          <w:szCs w:val="13"/>
        </w:rPr>
        <w:t>epoxide</w:t>
      </w:r>
      <w:proofErr w:type="spellEnd"/>
      <w:r>
        <w:rPr>
          <w:rFonts w:ascii="Arial" w:hAnsi="Arial" w:cs="Arial"/>
          <w:color w:val="000000"/>
          <w:sz w:val="13"/>
          <w:szCs w:val="13"/>
        </w:rPr>
        <w:t xml:space="preserve">, </w:t>
      </w:r>
      <w:proofErr w:type="spellStart"/>
      <w:r>
        <w:rPr>
          <w:rFonts w:ascii="Arial" w:hAnsi="Arial" w:cs="Arial"/>
          <w:color w:val="000000"/>
          <w:sz w:val="13"/>
          <w:szCs w:val="13"/>
        </w:rPr>
        <w:t>Hexachlorobenzene</w:t>
      </w:r>
      <w:proofErr w:type="spellEnd"/>
      <w:r>
        <w:rPr>
          <w:rFonts w:ascii="Arial" w:hAnsi="Arial" w:cs="Arial"/>
          <w:color w:val="000000"/>
          <w:sz w:val="13"/>
          <w:szCs w:val="13"/>
        </w:rPr>
        <w:t xml:space="preserv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w:t>
      </w:r>
      <w:proofErr w:type="spellStart"/>
      <w:r>
        <w:rPr>
          <w:rFonts w:ascii="Arial" w:hAnsi="Arial" w:cs="Arial"/>
          <w:color w:val="000000"/>
          <w:sz w:val="13"/>
          <w:szCs w:val="13"/>
        </w:rPr>
        <w:t>Lindane</w:t>
      </w:r>
      <w:proofErr w:type="spellEnd"/>
      <w:r>
        <w:rPr>
          <w:rFonts w:ascii="Arial" w:hAnsi="Arial" w:cs="Arial"/>
          <w:color w:val="000000"/>
          <w:sz w:val="13"/>
          <w:szCs w:val="13"/>
        </w:rPr>
        <w:t xml:space="preserv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w:t>
      </w:r>
      <w:r>
        <w:rPr>
          <w:rFonts w:ascii="Arial" w:hAnsi="Arial" w:cs="Arial"/>
          <w:color w:val="000000"/>
          <w:sz w:val="13"/>
          <w:szCs w:val="13"/>
        </w:rPr>
        <w:lastRenderedPageBreak/>
        <w:t xml:space="preserve">Pentachlorophenol, </w:t>
      </w:r>
      <w:proofErr w:type="spellStart"/>
      <w:r>
        <w:rPr>
          <w:rFonts w:ascii="Arial" w:hAnsi="Arial" w:cs="Arial"/>
          <w:color w:val="000000"/>
          <w:sz w:val="13"/>
          <w:szCs w:val="13"/>
        </w:rPr>
        <w:t>Picloram</w:t>
      </w:r>
      <w:proofErr w:type="spellEnd"/>
      <w:r>
        <w:rPr>
          <w:rFonts w:ascii="Arial" w:hAnsi="Arial" w:cs="Arial"/>
          <w:color w:val="000000"/>
          <w:sz w:val="13"/>
          <w:szCs w:val="13"/>
        </w:rPr>
        <w:t xml:space="preserve">, Polychlorinated biphenyls, </w:t>
      </w:r>
      <w:proofErr w:type="spellStart"/>
      <w:r>
        <w:rPr>
          <w:rFonts w:ascii="Arial" w:hAnsi="Arial" w:cs="Arial"/>
          <w:color w:val="000000"/>
          <w:sz w:val="13"/>
          <w:szCs w:val="13"/>
        </w:rPr>
        <w:t>Simazine</w:t>
      </w:r>
      <w:proofErr w:type="spellEnd"/>
      <w:r>
        <w:rPr>
          <w:rFonts w:ascii="Arial" w:hAnsi="Arial" w:cs="Arial"/>
          <w:color w:val="000000"/>
          <w:sz w:val="13"/>
          <w:szCs w:val="13"/>
        </w:rPr>
        <w:t xml:space="preserve">, </w:t>
      </w:r>
      <w:proofErr w:type="spellStart"/>
      <w:r>
        <w:rPr>
          <w:rFonts w:ascii="Arial" w:hAnsi="Arial" w:cs="Arial"/>
          <w:color w:val="000000"/>
          <w:sz w:val="13"/>
          <w:szCs w:val="13"/>
        </w:rPr>
        <w:t>Toxaphene</w:t>
      </w:r>
      <w:proofErr w:type="spellEnd"/>
      <w:r>
        <w:rPr>
          <w:rFonts w:ascii="Arial" w:hAnsi="Arial" w:cs="Arial"/>
          <w:color w:val="000000"/>
          <w:sz w:val="13"/>
          <w:szCs w:val="13"/>
        </w:rPr>
        <w:t xml:space="preserve">, Dioxin, </w:t>
      </w:r>
      <w:proofErr w:type="spellStart"/>
      <w:r>
        <w:rPr>
          <w:rFonts w:ascii="Arial" w:hAnsi="Arial" w:cs="Arial"/>
          <w:color w:val="000000"/>
          <w:sz w:val="13"/>
          <w:szCs w:val="13"/>
        </w:rPr>
        <w:t>Silvex</w:t>
      </w:r>
      <w:proofErr w:type="spellEnd"/>
      <w:r>
        <w:rPr>
          <w:rFonts w:ascii="Arial" w:hAnsi="Arial" w:cs="Arial"/>
          <w:color w:val="000000"/>
          <w:sz w:val="13"/>
          <w:szCs w:val="13"/>
        </w:rPr>
        <w:t>, Benzene, Carbon Tetrachloride, o-</w:t>
      </w:r>
      <w:proofErr w:type="spellStart"/>
      <w:r>
        <w:rPr>
          <w:rFonts w:ascii="Arial" w:hAnsi="Arial" w:cs="Arial"/>
          <w:color w:val="000000"/>
          <w:sz w:val="13"/>
          <w:szCs w:val="13"/>
        </w:rPr>
        <w:t>Dichloro</w:t>
      </w:r>
      <w:proofErr w:type="spellEnd"/>
      <w:r>
        <w:rPr>
          <w:rFonts w:ascii="Arial" w:hAnsi="Arial" w:cs="Arial"/>
          <w:color w:val="000000"/>
          <w:sz w:val="13"/>
          <w:szCs w:val="13"/>
        </w:rPr>
        <w:t xml:space="preserve">- benzene, Para-Dichlorobenzene, 1,2-Dichlorethane, 1,1-Dichloroethylene, Cis-1,2,-Dichloroethylene, Trans-1,2-Dichloroethylene, Dichloromethane, 1,2-Dichloropropane, </w:t>
      </w:r>
      <w:proofErr w:type="spellStart"/>
      <w:r>
        <w:rPr>
          <w:rFonts w:ascii="Arial" w:hAnsi="Arial" w:cs="Arial"/>
          <w:color w:val="000000"/>
          <w:sz w:val="13"/>
          <w:szCs w:val="13"/>
        </w:rPr>
        <w:t>Ethylbenzene</w:t>
      </w:r>
      <w:proofErr w:type="spellEnd"/>
      <w:r>
        <w:rPr>
          <w:rFonts w:ascii="Arial" w:hAnsi="Arial" w:cs="Arial"/>
          <w:color w:val="000000"/>
          <w:sz w:val="13"/>
          <w:szCs w:val="13"/>
        </w:rPr>
        <w:t xml:space="preserv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w:t>
      </w:r>
      <w:proofErr w:type="spellStart"/>
      <w:r>
        <w:rPr>
          <w:rFonts w:ascii="Arial" w:hAnsi="Arial" w:cs="Arial"/>
          <w:color w:val="000000"/>
          <w:sz w:val="13"/>
          <w:szCs w:val="13"/>
        </w:rPr>
        <w:t>Bromodichloromethane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Bromoform</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Chlorobenzene</w:t>
      </w:r>
      <w:proofErr w:type="spellEnd"/>
      <w:r>
        <w:rPr>
          <w:rFonts w:ascii="Arial" w:hAnsi="Arial" w:cs="Arial"/>
          <w:color w:val="000000"/>
          <w:sz w:val="13"/>
          <w:szCs w:val="13"/>
        </w:rPr>
        <w:t xml:space="preserve">, m-Dichlorobenzene, 1,1-Dichloropropene, 1,1-Dichloroethane, 1,1,2,2-Tetrachlorethane, 1,2-Dichloropropane, Chloromethane, </w:t>
      </w:r>
      <w:proofErr w:type="spellStart"/>
      <w:r>
        <w:rPr>
          <w:rFonts w:ascii="Arial" w:hAnsi="Arial" w:cs="Arial"/>
          <w:color w:val="000000"/>
          <w:sz w:val="13"/>
          <w:szCs w:val="13"/>
        </w:rPr>
        <w:t>Bromomethane</w:t>
      </w:r>
      <w:proofErr w:type="spellEnd"/>
      <w:r>
        <w:rPr>
          <w:rFonts w:ascii="Arial" w:hAnsi="Arial" w:cs="Arial"/>
          <w:color w:val="000000"/>
          <w:sz w:val="13"/>
          <w:szCs w:val="13"/>
        </w:rPr>
        <w:t xml:space="preserve">, 1,2,3-Trichloropropane, 1,1,1,2-Tetra- </w:t>
      </w:r>
      <w:proofErr w:type="spellStart"/>
      <w:r>
        <w:rPr>
          <w:rFonts w:ascii="Arial" w:hAnsi="Arial" w:cs="Arial"/>
          <w:color w:val="000000"/>
          <w:sz w:val="13"/>
          <w:szCs w:val="13"/>
        </w:rPr>
        <w:t>chloroethane</w:t>
      </w:r>
      <w:proofErr w:type="spellEnd"/>
      <w:r>
        <w:rPr>
          <w:rFonts w:ascii="Arial" w:hAnsi="Arial" w:cs="Arial"/>
          <w:color w:val="000000"/>
          <w:sz w:val="13"/>
          <w:szCs w:val="13"/>
        </w:rPr>
        <w:t xml:space="preserve">, </w:t>
      </w:r>
      <w:proofErr w:type="spellStart"/>
      <w:r>
        <w:rPr>
          <w:rFonts w:ascii="Arial" w:hAnsi="Arial" w:cs="Arial"/>
          <w:color w:val="000000"/>
          <w:sz w:val="13"/>
          <w:szCs w:val="13"/>
        </w:rPr>
        <w:t>Chloroethane</w:t>
      </w:r>
      <w:proofErr w:type="spellEnd"/>
      <w:r>
        <w:rPr>
          <w:rFonts w:ascii="Arial" w:hAnsi="Arial" w:cs="Arial"/>
          <w:color w:val="000000"/>
          <w:sz w:val="13"/>
          <w:szCs w:val="13"/>
        </w:rPr>
        <w:t>, 2,2-Dichloropropane, o-</w:t>
      </w:r>
      <w:proofErr w:type="spellStart"/>
      <w:r>
        <w:rPr>
          <w:rFonts w:ascii="Arial" w:hAnsi="Arial" w:cs="Arial"/>
          <w:color w:val="000000"/>
          <w:sz w:val="13"/>
          <w:szCs w:val="13"/>
        </w:rPr>
        <w:t>Chlorotoluene</w:t>
      </w:r>
      <w:proofErr w:type="spellEnd"/>
      <w:r>
        <w:rPr>
          <w:rFonts w:ascii="Arial" w:hAnsi="Arial" w:cs="Arial"/>
          <w:color w:val="000000"/>
          <w:sz w:val="13"/>
          <w:szCs w:val="13"/>
        </w:rPr>
        <w:t>, p-</w:t>
      </w:r>
      <w:proofErr w:type="spellStart"/>
      <w:r>
        <w:rPr>
          <w:rFonts w:ascii="Arial" w:hAnsi="Arial" w:cs="Arial"/>
          <w:color w:val="000000"/>
          <w:sz w:val="13"/>
          <w:szCs w:val="13"/>
        </w:rPr>
        <w:t>Chlorotoluene</w:t>
      </w:r>
      <w:proofErr w:type="spellEnd"/>
      <w:r>
        <w:rPr>
          <w:rFonts w:ascii="Arial" w:hAnsi="Arial" w:cs="Arial"/>
          <w:color w:val="000000"/>
          <w:sz w:val="13"/>
          <w:szCs w:val="13"/>
        </w:rPr>
        <w:t xml:space="preserve">, </w:t>
      </w:r>
      <w:proofErr w:type="spellStart"/>
      <w:r>
        <w:rPr>
          <w:rFonts w:ascii="Arial" w:hAnsi="Arial" w:cs="Arial"/>
          <w:color w:val="000000"/>
          <w:sz w:val="13"/>
          <w:szCs w:val="13"/>
        </w:rPr>
        <w:t>Bromobenzene</w:t>
      </w:r>
      <w:proofErr w:type="spellEnd"/>
      <w:r>
        <w:rPr>
          <w:rFonts w:ascii="Arial" w:hAnsi="Arial" w:cs="Arial"/>
          <w:color w:val="000000"/>
          <w:sz w:val="13"/>
          <w:szCs w:val="13"/>
        </w:rPr>
        <w:t xml:space="preserve">, 1,3-Dichloropropene, </w:t>
      </w:r>
      <w:proofErr w:type="spellStart"/>
      <w:r>
        <w:rPr>
          <w:rFonts w:ascii="Arial" w:hAnsi="Arial" w:cs="Arial"/>
          <w:color w:val="000000"/>
          <w:sz w:val="13"/>
          <w:szCs w:val="13"/>
        </w:rPr>
        <w:t>Aldrin</w:t>
      </w:r>
      <w:proofErr w:type="spellEnd"/>
      <w:r>
        <w:rPr>
          <w:rFonts w:ascii="Arial" w:hAnsi="Arial" w:cs="Arial"/>
          <w:color w:val="000000"/>
          <w:sz w:val="13"/>
          <w:szCs w:val="13"/>
        </w:rPr>
        <w:t xml:space="preserve">, </w:t>
      </w:r>
      <w:proofErr w:type="spellStart"/>
      <w:r>
        <w:rPr>
          <w:rFonts w:ascii="Arial" w:hAnsi="Arial" w:cs="Arial"/>
          <w:color w:val="000000"/>
          <w:sz w:val="13"/>
          <w:szCs w:val="13"/>
        </w:rPr>
        <w:t>Butachlor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Carbaryl</w:t>
      </w:r>
      <w:proofErr w:type="spellEnd"/>
      <w:r>
        <w:rPr>
          <w:rFonts w:ascii="Arial" w:hAnsi="Arial" w:cs="Arial"/>
          <w:color w:val="000000"/>
          <w:sz w:val="13"/>
          <w:szCs w:val="13"/>
        </w:rPr>
        <w:t xml:space="preserve">, </w:t>
      </w:r>
      <w:proofErr w:type="spellStart"/>
      <w:r>
        <w:rPr>
          <w:rFonts w:ascii="Arial" w:hAnsi="Arial" w:cs="Arial"/>
          <w:color w:val="000000"/>
          <w:sz w:val="13"/>
          <w:szCs w:val="13"/>
        </w:rPr>
        <w:t>Dicamba</w:t>
      </w:r>
      <w:proofErr w:type="spellEnd"/>
      <w:r>
        <w:rPr>
          <w:rFonts w:ascii="Arial" w:hAnsi="Arial" w:cs="Arial"/>
          <w:color w:val="000000"/>
          <w:sz w:val="13"/>
          <w:szCs w:val="13"/>
        </w:rPr>
        <w:t xml:space="preserve">, </w:t>
      </w:r>
      <w:proofErr w:type="spellStart"/>
      <w:r>
        <w:rPr>
          <w:rFonts w:ascii="Arial" w:hAnsi="Arial" w:cs="Arial"/>
          <w:color w:val="000000"/>
          <w:sz w:val="13"/>
          <w:szCs w:val="13"/>
        </w:rPr>
        <w:t>Dieldrin</w:t>
      </w:r>
      <w:proofErr w:type="spellEnd"/>
      <w:r>
        <w:rPr>
          <w:rFonts w:ascii="Arial" w:hAnsi="Arial" w:cs="Arial"/>
          <w:color w:val="000000"/>
          <w:sz w:val="13"/>
          <w:szCs w:val="13"/>
        </w:rPr>
        <w:t xml:space="preserve">, 3-Hydroxycarbofuran, </w:t>
      </w:r>
      <w:proofErr w:type="spellStart"/>
      <w:r>
        <w:rPr>
          <w:rFonts w:ascii="Arial" w:hAnsi="Arial" w:cs="Arial"/>
          <w:color w:val="000000"/>
          <w:sz w:val="13"/>
          <w:szCs w:val="13"/>
        </w:rPr>
        <w:t>Methomyl</w:t>
      </w:r>
      <w:proofErr w:type="spellEnd"/>
      <w:r>
        <w:rPr>
          <w:rFonts w:ascii="Arial" w:hAnsi="Arial" w:cs="Arial"/>
          <w:color w:val="000000"/>
          <w:sz w:val="13"/>
          <w:szCs w:val="13"/>
        </w:rPr>
        <w:t xml:space="preserve">, </w:t>
      </w:r>
      <w:proofErr w:type="spellStart"/>
      <w:r>
        <w:rPr>
          <w:rFonts w:ascii="Arial" w:hAnsi="Arial" w:cs="Arial"/>
          <w:color w:val="000000"/>
          <w:sz w:val="13"/>
          <w:szCs w:val="13"/>
        </w:rPr>
        <w:t>Metolachlor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Metribuzin</w:t>
      </w:r>
      <w:proofErr w:type="spellEnd"/>
      <w:r>
        <w:rPr>
          <w:rFonts w:ascii="Arial" w:hAnsi="Arial" w:cs="Arial"/>
          <w:color w:val="000000"/>
          <w:sz w:val="13"/>
          <w:szCs w:val="13"/>
        </w:rPr>
        <w:t xml:space="preserve">,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rsidR="000A581F" w:rsidRDefault="000A581F" w:rsidP="000A581F">
      <w:pPr>
        <w:rPr>
          <w:color w:val="000000"/>
          <w:sz w:val="12"/>
          <w:szCs w:val="12"/>
        </w:rPr>
      </w:pPr>
    </w:p>
    <w:p w:rsidR="000A581F" w:rsidRDefault="000A581F" w:rsidP="000A581F">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rsidR="000A581F" w:rsidRDefault="000A581F" w:rsidP="000A581F">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rsidR="000A581F" w:rsidRDefault="000A581F" w:rsidP="000A581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rsidR="000A581F" w:rsidRDefault="000A581F" w:rsidP="000A581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rsidR="000A581F" w:rsidRDefault="000A581F" w:rsidP="000A581F">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rsidR="000A581F" w:rsidRDefault="000A581F" w:rsidP="000A581F">
      <w:pPr>
        <w:widowControl w:val="0"/>
        <w:tabs>
          <w:tab w:val="left" w:pos="9540"/>
        </w:tabs>
        <w:autoSpaceDE w:val="0"/>
        <w:autoSpaceDN w:val="0"/>
        <w:adjustRightInd w:val="0"/>
        <w:rPr>
          <w:rFonts w:ascii="Arial" w:hAnsi="Arial" w:cs="Arial"/>
          <w:color w:val="000000"/>
          <w:sz w:val="14"/>
          <w:szCs w:val="14"/>
        </w:rPr>
      </w:pPr>
      <w:proofErr w:type="gramStart"/>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roofErr w:type="gramEnd"/>
    </w:p>
    <w:p w:rsidR="000A581F" w:rsidRDefault="000A581F" w:rsidP="000A581F">
      <w:pPr>
        <w:widowControl w:val="0"/>
        <w:tabs>
          <w:tab w:val="left" w:pos="9540"/>
        </w:tabs>
        <w:autoSpaceDE w:val="0"/>
        <w:autoSpaceDN w:val="0"/>
        <w:adjustRightInd w:val="0"/>
        <w:rPr>
          <w:rFonts w:ascii="Arial" w:hAnsi="Arial" w:cs="Arial"/>
          <w:color w:val="000000"/>
          <w:sz w:val="14"/>
          <w:szCs w:val="14"/>
        </w:rPr>
      </w:pPr>
      <w:proofErr w:type="gramStart"/>
      <w:r>
        <w:rPr>
          <w:rFonts w:ascii="Arial" w:hAnsi="Arial" w:cs="Arial"/>
          <w:b/>
          <w:color w:val="000000"/>
          <w:sz w:val="14"/>
          <w:szCs w:val="14"/>
        </w:rPr>
        <w:t xml:space="preserve">N/A – </w:t>
      </w:r>
      <w:r>
        <w:rPr>
          <w:rFonts w:ascii="Arial" w:hAnsi="Arial" w:cs="Arial"/>
          <w:color w:val="000000"/>
          <w:sz w:val="14"/>
          <w:szCs w:val="14"/>
        </w:rPr>
        <w:t>Not applicable.</w:t>
      </w:r>
      <w:proofErr w:type="gramEnd"/>
    </w:p>
    <w:p w:rsidR="000A581F" w:rsidRDefault="000A581F" w:rsidP="000A581F">
      <w:pPr>
        <w:widowControl w:val="0"/>
        <w:tabs>
          <w:tab w:val="left" w:pos="9540"/>
        </w:tabs>
        <w:autoSpaceDE w:val="0"/>
        <w:autoSpaceDN w:val="0"/>
        <w:adjustRightInd w:val="0"/>
        <w:rPr>
          <w:rFonts w:ascii="Arial" w:hAnsi="Arial" w:cs="Arial"/>
          <w:color w:val="000000"/>
          <w:sz w:val="12"/>
          <w:szCs w:val="12"/>
        </w:rPr>
      </w:pPr>
    </w:p>
    <w:p w:rsidR="000A581F" w:rsidRDefault="000A581F" w:rsidP="000A581F">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 xml:space="preserve">ND – </w:t>
      </w:r>
      <w:r>
        <w:rPr>
          <w:rFonts w:ascii="Arial" w:hAnsi="Arial" w:cs="Arial"/>
          <w:color w:val="000000"/>
          <w:sz w:val="13"/>
          <w:szCs w:val="13"/>
        </w:rPr>
        <w:t>Not detectable.</w:t>
      </w:r>
      <w:proofErr w:type="gramEnd"/>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ppm</w:t>
      </w:r>
      <w:proofErr w:type="gramEnd"/>
      <w:r>
        <w:rPr>
          <w:rFonts w:ascii="Arial" w:hAnsi="Arial" w:cs="Arial"/>
          <w:b/>
          <w:color w:val="000000"/>
          <w:sz w:val="13"/>
          <w:szCs w:val="13"/>
        </w:rPr>
        <w:t xml:space="preserve">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rsidR="000A581F" w:rsidRDefault="000A581F" w:rsidP="000A581F">
      <w:pPr>
        <w:widowControl w:val="0"/>
        <w:tabs>
          <w:tab w:val="left" w:pos="9540"/>
        </w:tabs>
        <w:autoSpaceDE w:val="0"/>
        <w:autoSpaceDN w:val="0"/>
        <w:adjustRightInd w:val="0"/>
        <w:rPr>
          <w:rFonts w:ascii="Arial" w:hAnsi="Arial" w:cs="Arial"/>
          <w:b/>
          <w:color w:val="000000"/>
          <w:sz w:val="13"/>
          <w:szCs w:val="13"/>
        </w:rPr>
      </w:pPr>
      <w:proofErr w:type="gramStart"/>
      <w:r>
        <w:rPr>
          <w:rFonts w:ascii="Arial" w:hAnsi="Arial" w:cs="Arial"/>
          <w:b/>
          <w:color w:val="000000"/>
          <w:sz w:val="13"/>
          <w:szCs w:val="13"/>
        </w:rPr>
        <w:t>mg/L</w:t>
      </w:r>
      <w:proofErr w:type="gramEnd"/>
      <w:r>
        <w:rPr>
          <w:rFonts w:ascii="Arial" w:hAnsi="Arial" w:cs="Arial"/>
          <w:b/>
          <w:color w:val="000000"/>
          <w:sz w:val="13"/>
          <w:szCs w:val="13"/>
        </w:rPr>
        <w:t xml:space="preserve"> (milligrams per liter) – </w:t>
      </w:r>
      <w:r>
        <w:rPr>
          <w:rFonts w:ascii="Arial" w:hAnsi="Arial" w:cs="Arial"/>
          <w:color w:val="000000"/>
          <w:sz w:val="13"/>
          <w:szCs w:val="13"/>
        </w:rPr>
        <w:t>Equivalent to ppm.</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ppb</w:t>
      </w:r>
      <w:proofErr w:type="gramEnd"/>
      <w:r>
        <w:rPr>
          <w:rFonts w:ascii="Arial" w:hAnsi="Arial" w:cs="Arial"/>
          <w:b/>
          <w:color w:val="000000"/>
          <w:sz w:val="13"/>
          <w:szCs w:val="13"/>
        </w:rPr>
        <w:t xml:space="preserve"> (parts per billion) –</w:t>
      </w:r>
      <w:r>
        <w:rPr>
          <w:rFonts w:ascii="Arial" w:hAnsi="Arial" w:cs="Arial"/>
          <w:color w:val="000000"/>
          <w:sz w:val="13"/>
          <w:szCs w:val="13"/>
        </w:rPr>
        <w:t xml:space="preserve"> One ppb corresponds to 1 gallon of concentrate in 1 billion gallons of water.</w:t>
      </w:r>
    </w:p>
    <w:p w:rsidR="000A581F" w:rsidRDefault="000A581F" w:rsidP="000A581F">
      <w:pPr>
        <w:widowControl w:val="0"/>
        <w:tabs>
          <w:tab w:val="left" w:pos="9540"/>
        </w:tabs>
        <w:autoSpaceDE w:val="0"/>
        <w:autoSpaceDN w:val="0"/>
        <w:adjustRightInd w:val="0"/>
        <w:rPr>
          <w:rFonts w:ascii="Arial" w:hAnsi="Arial" w:cs="Arial"/>
          <w:b/>
          <w:color w:val="000000"/>
          <w:sz w:val="13"/>
          <w:szCs w:val="13"/>
        </w:rPr>
      </w:pPr>
      <w:proofErr w:type="spellStart"/>
      <w:proofErr w:type="gramStart"/>
      <w:r>
        <w:rPr>
          <w:rFonts w:ascii="Arial" w:hAnsi="Arial" w:cs="Arial"/>
          <w:b/>
          <w:color w:val="000000"/>
          <w:sz w:val="13"/>
          <w:szCs w:val="13"/>
        </w:rPr>
        <w:t>ug</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(micrograms per liter) – </w:t>
      </w:r>
      <w:r>
        <w:rPr>
          <w:rFonts w:ascii="Arial" w:hAnsi="Arial" w:cs="Arial"/>
          <w:color w:val="000000"/>
          <w:sz w:val="13"/>
          <w:szCs w:val="13"/>
        </w:rPr>
        <w:t>Equivalent to ppb.</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spellStart"/>
      <w:proofErr w:type="gramStart"/>
      <w:r>
        <w:rPr>
          <w:rFonts w:ascii="Arial" w:hAnsi="Arial" w:cs="Arial"/>
          <w:b/>
          <w:color w:val="000000"/>
          <w:sz w:val="13"/>
          <w:szCs w:val="13"/>
        </w:rPr>
        <w:t>pCi</w:t>
      </w:r>
      <w:proofErr w:type="spellEnd"/>
      <w:r>
        <w:rPr>
          <w:rFonts w:ascii="Arial" w:hAnsi="Arial" w:cs="Arial"/>
          <w:b/>
          <w:color w:val="000000"/>
          <w:sz w:val="13"/>
          <w:szCs w:val="13"/>
        </w:rPr>
        <w:t>/L</w:t>
      </w:r>
      <w:proofErr w:type="gramEnd"/>
      <w:r>
        <w:rPr>
          <w:rFonts w:ascii="Arial" w:hAnsi="Arial" w:cs="Arial"/>
          <w:b/>
          <w:color w:val="000000"/>
          <w:sz w:val="13"/>
          <w:szCs w:val="13"/>
        </w:rPr>
        <w:t xml:space="preserve"> (Picocuries per liter) – </w:t>
      </w:r>
      <w:r>
        <w:rPr>
          <w:rFonts w:ascii="Arial" w:hAnsi="Arial" w:cs="Arial"/>
          <w:color w:val="000000"/>
          <w:sz w:val="13"/>
          <w:szCs w:val="13"/>
        </w:rPr>
        <w:t>Radioactivity concentration unit.</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 xml:space="preserve">RAA (Running Annual Average) – </w:t>
      </w:r>
      <w:r>
        <w:rPr>
          <w:rFonts w:ascii="Arial" w:hAnsi="Arial" w:cs="Arial"/>
          <w:color w:val="000000"/>
          <w:sz w:val="13"/>
          <w:szCs w:val="13"/>
        </w:rPr>
        <w:t>An ongoing annual average calculation of data from the most recent four quarters.</w:t>
      </w:r>
      <w:proofErr w:type="gramEnd"/>
      <w:r>
        <w:rPr>
          <w:rFonts w:ascii="Arial" w:hAnsi="Arial" w:cs="Arial"/>
          <w:color w:val="000000"/>
          <w:sz w:val="13"/>
          <w:szCs w:val="13"/>
        </w:rPr>
        <w:t xml:space="preserve"> </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proofErr w:type="gramStart"/>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roofErr w:type="gramEnd"/>
    </w:p>
    <w:p w:rsidR="000A581F" w:rsidRDefault="000A581F" w:rsidP="000A581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rsidR="000A581F" w:rsidRDefault="000A581F" w:rsidP="000A581F">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rsidR="000A581F" w:rsidRDefault="000A581F" w:rsidP="000A581F">
      <w:pPr>
        <w:rPr>
          <w:rFonts w:ascii="Arial" w:hAnsi="Arial" w:cs="Arial"/>
          <w:sz w:val="15"/>
          <w:szCs w:val="15"/>
        </w:rPr>
        <w:sectPr w:rsidR="000A581F">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0" w:footer="0" w:gutter="0"/>
          <w:cols w:num="3" w:space="720" w:equalWidth="0">
            <w:col w:w="4320" w:space="720"/>
            <w:col w:w="4320" w:space="720"/>
            <w:col w:w="4320"/>
          </w:cols>
        </w:sectPr>
      </w:pPr>
    </w:p>
    <w:p w:rsidR="000A581F" w:rsidRDefault="000A581F" w:rsidP="000A581F">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Oxford</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sidR="000E3651">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sidR="000E3651">
        <w:rPr>
          <w:rFonts w:ascii="Arial" w:hAnsi="Arial" w:cs="Arial"/>
          <w:b/>
          <w:color w:val="000000"/>
          <w:sz w:val="16"/>
          <w:szCs w:val="16"/>
        </w:rPr>
        <w:fldChar w:fldCharType="separate"/>
      </w:r>
      <w:r w:rsidR="00F14476">
        <w:rPr>
          <w:rFonts w:ascii="Arial" w:hAnsi="Arial" w:cs="Arial"/>
          <w:b/>
          <w:noProof/>
          <w:color w:val="000000"/>
          <w:sz w:val="16"/>
          <w:szCs w:val="16"/>
        </w:rPr>
        <w:t>4/1/2021</w:t>
      </w:r>
      <w:r w:rsidR="000E3651">
        <w:rPr>
          <w:rFonts w:ascii="Arial" w:hAnsi="Arial" w:cs="Arial"/>
          <w:b/>
          <w:color w:val="000000"/>
          <w:sz w:val="16"/>
          <w:szCs w:val="16"/>
        </w:rPr>
        <w:fldChar w:fldCharType="end"/>
      </w:r>
      <w:r>
        <w:rPr>
          <w:rFonts w:ascii="Arial" w:hAnsi="Arial" w:cs="Arial"/>
          <w:b/>
          <w:color w:val="000000"/>
          <w:sz w:val="16"/>
          <w:szCs w:val="16"/>
        </w:rPr>
        <w:tab/>
        <w:t xml:space="preserve">NE3106502   </w:t>
      </w:r>
    </w:p>
    <w:p w:rsidR="000A581F" w:rsidRDefault="000A581F" w:rsidP="000A581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3420"/>
        <w:gridCol w:w="3240"/>
        <w:gridCol w:w="810"/>
        <w:gridCol w:w="2880"/>
        <w:gridCol w:w="1710"/>
      </w:tblGrid>
      <w:tr w:rsidR="000A581F" w:rsidTr="000A581F">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bookmarkStart w:id="1"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1"/>
      <w:tr w:rsidR="000A581F" w:rsidTr="000A581F">
        <w:trPr>
          <w:tblHeader/>
        </w:trPr>
        <w:tc>
          <w:tcPr>
            <w:tcW w:w="13878" w:type="dxa"/>
            <w:gridSpan w:val="6"/>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No Detected Results were Found in the Calendar Year of 2020</w:t>
            </w:r>
          </w:p>
        </w:tc>
      </w:tr>
    </w:tbl>
    <w:p w:rsidR="000A581F" w:rsidRDefault="000A581F" w:rsidP="000A581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00"/>
        <w:gridCol w:w="1380"/>
        <w:gridCol w:w="1020"/>
        <w:gridCol w:w="840"/>
        <w:gridCol w:w="600"/>
        <w:gridCol w:w="840"/>
        <w:gridCol w:w="6330"/>
      </w:tblGrid>
      <w:tr w:rsidR="000A581F" w:rsidTr="000A581F">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bookmarkStart w:id="2" w:name="TABLE_90TH"/>
            <w:r>
              <w:rPr>
                <w:rFonts w:ascii="Arial" w:hAnsi="Arial" w:cs="Arial"/>
                <w:b/>
                <w:sz w:val="16"/>
                <w:szCs w:val="16"/>
                <w:lang w:bidi="en-US"/>
              </w:rPr>
              <w:t>Lead and Copper</w:t>
            </w:r>
            <w:bookmarkEnd w:id="2"/>
          </w:p>
        </w:tc>
        <w:tc>
          <w:tcPr>
            <w:tcW w:w="12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A581F" w:rsidTr="000A581F">
        <w:tc>
          <w:tcPr>
            <w:tcW w:w="166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2018 - 2020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0.191</w:t>
            </w:r>
          </w:p>
        </w:tc>
        <w:tc>
          <w:tcPr>
            <w:tcW w:w="10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0.0508 - 0.311</w:t>
            </w:r>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0A581F" w:rsidTr="000A581F">
        <w:tc>
          <w:tcPr>
            <w:tcW w:w="166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2018 - 2020</w:t>
            </w:r>
          </w:p>
        </w:tc>
        <w:tc>
          <w:tcPr>
            <w:tcW w:w="138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0.567 - 1.56</w:t>
            </w:r>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rsidR="000A581F" w:rsidRDefault="000A581F" w:rsidP="000A581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2"/>
        <w:gridCol w:w="1246"/>
        <w:gridCol w:w="917"/>
        <w:gridCol w:w="841"/>
        <w:gridCol w:w="721"/>
        <w:gridCol w:w="841"/>
        <w:gridCol w:w="841"/>
        <w:gridCol w:w="6249"/>
      </w:tblGrid>
      <w:tr w:rsidR="000A581F" w:rsidTr="000A581F">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bookmarkStart w:id="3" w:name="TABLE_NTCRREG"/>
            <w:bookmarkEnd w:id="3"/>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Range</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Unit</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MCLG</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A581F" w:rsidTr="000A581F">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721"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6249"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8/27/2018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6.07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5.89 - 6.07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2/8/2016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0.182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0.182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CHROMIUM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2/8/2016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12.7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12.7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Discharge from steel and pulp mills; Erosion of natural deposits. </w:t>
            </w: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2/8/2016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0.334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0.334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1/21/2020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9.44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3.85 - 9.44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0A581F" w:rsidTr="000A581F">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2/8/2016 </w:t>
            </w:r>
          </w:p>
        </w:tc>
        <w:tc>
          <w:tcPr>
            <w:tcW w:w="917"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15.4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15.4 </w:t>
            </w:r>
          </w:p>
        </w:tc>
        <w:tc>
          <w:tcPr>
            <w:tcW w:w="72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841"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6249"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bl>
    <w:p w:rsidR="000A581F" w:rsidRDefault="000A581F" w:rsidP="000A581F">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900"/>
        <w:gridCol w:w="990"/>
        <w:gridCol w:w="720"/>
        <w:gridCol w:w="630"/>
        <w:gridCol w:w="810"/>
        <w:gridCol w:w="6120"/>
      </w:tblGrid>
      <w:tr w:rsidR="000A581F" w:rsidTr="000A581F">
        <w:trPr>
          <w:trHeight w:val="151"/>
        </w:trPr>
        <w:tc>
          <w:tcPr>
            <w:tcW w:w="244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bookmarkStart w:id="4" w:name="TABLE_RADS" w:colFirst="0" w:colLast="0"/>
            <w:r>
              <w:rPr>
                <w:rFonts w:ascii="Arial" w:hAnsi="Arial" w:cs="Arial"/>
                <w:b/>
                <w:sz w:val="16"/>
                <w:szCs w:val="16"/>
                <w:lang w:bidi="en-US"/>
              </w:rPr>
              <w:t>Radiological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MCLG</w:t>
            </w:r>
          </w:p>
        </w:tc>
        <w:tc>
          <w:tcPr>
            <w:tcW w:w="61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A581F" w:rsidTr="000A581F">
        <w:trPr>
          <w:trHeight w:hRule="exact" w:val="20"/>
        </w:trPr>
        <w:tc>
          <w:tcPr>
            <w:tcW w:w="2448"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126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612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r>
      <w:tr w:rsidR="000A581F" w:rsidTr="000A581F">
        <w:tc>
          <w:tcPr>
            <w:tcW w:w="244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COMBINED RADIUM (-226 &amp; -228)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4/24/2018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1.27</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0 - 1.27</w:t>
            </w:r>
          </w:p>
        </w:tc>
        <w:tc>
          <w:tcPr>
            <w:tcW w:w="7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0A581F" w:rsidTr="000A581F">
        <w:tc>
          <w:tcPr>
            <w:tcW w:w="244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GROSS ALPHA, INCL. RADON &amp; U</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4/24/2018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3.27</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0 - 3.27</w:t>
            </w:r>
          </w:p>
        </w:tc>
        <w:tc>
          <w:tcPr>
            <w:tcW w:w="72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0A581F" w:rsidTr="000A581F">
        <w:tc>
          <w:tcPr>
            <w:tcW w:w="244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RADIUM-228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4/24/2018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1.27</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0 - 1.27</w:t>
            </w:r>
          </w:p>
        </w:tc>
        <w:tc>
          <w:tcPr>
            <w:tcW w:w="72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Erosion of natural deposits</w:t>
            </w:r>
          </w:p>
        </w:tc>
      </w:tr>
    </w:tbl>
    <w:p w:rsidR="000A581F" w:rsidRDefault="000A581F" w:rsidP="000A581F">
      <w:pPr>
        <w:rPr>
          <w:rFonts w:ascii="Arial" w:hAnsi="Arial" w:cs="Arial"/>
          <w:b/>
          <w:sz w:val="12"/>
          <w:szCs w:val="12"/>
        </w:rPr>
      </w:pPr>
      <w:bookmarkStart w:id="5" w:name="TABLE_TURBIDITY"/>
      <w:bookmarkStart w:id="6" w:name="_GoBack"/>
      <w:bookmarkEnd w:id="4"/>
      <w:bookmarkEnd w:id="5"/>
      <w:bookmarkEnd w:id="6"/>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2070"/>
        <w:gridCol w:w="1710"/>
        <w:gridCol w:w="1710"/>
        <w:gridCol w:w="990"/>
        <w:gridCol w:w="3060"/>
      </w:tblGrid>
      <w:tr w:rsidR="000A581F" w:rsidTr="000A581F">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bookmarkStart w:id="7" w:name="TABLE_SECONDARY"/>
            <w:bookmarkEnd w:id="7"/>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Secondary MCL</w:t>
            </w:r>
          </w:p>
        </w:tc>
      </w:tr>
      <w:tr w:rsidR="000A581F" w:rsidTr="000A581F">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rsidR="000A581F" w:rsidRDefault="000A581F">
            <w:pPr>
              <w:spacing w:line="256" w:lineRule="auto"/>
              <w:rPr>
                <w:rFonts w:ascii="Arial" w:hAnsi="Arial" w:cs="Arial"/>
                <w:sz w:val="16"/>
                <w:szCs w:val="16"/>
                <w:lang w:bidi="en-US"/>
              </w:rPr>
            </w:pPr>
          </w:p>
        </w:tc>
      </w:tr>
      <w:tr w:rsidR="000A581F" w:rsidTr="000A581F">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SULFATE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8/10/2020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65.5</w:t>
            </w:r>
          </w:p>
        </w:tc>
        <w:tc>
          <w:tcPr>
            <w:tcW w:w="171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65.5</w:t>
            </w:r>
          </w:p>
        </w:tc>
        <w:tc>
          <w:tcPr>
            <w:tcW w:w="9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mg/L</w:t>
            </w:r>
          </w:p>
        </w:tc>
        <w:tc>
          <w:tcPr>
            <w:tcW w:w="30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250</w:t>
            </w:r>
          </w:p>
        </w:tc>
      </w:tr>
    </w:tbl>
    <w:p w:rsidR="000A581F" w:rsidRDefault="000A581F" w:rsidP="000A581F">
      <w:pPr>
        <w:rPr>
          <w:rFonts w:ascii="Arial" w:hAnsi="Arial" w:cs="Arial"/>
          <w:b/>
          <w:sz w:val="12"/>
          <w:szCs w:val="12"/>
        </w:rPr>
      </w:pPr>
    </w:p>
    <w:p w:rsidR="000A581F" w:rsidRDefault="000A581F" w:rsidP="000A581F">
      <w:pPr>
        <w:rPr>
          <w:rFonts w:ascii="Arial" w:hAnsi="Arial" w:cs="Arial"/>
          <w:b/>
          <w:sz w:val="16"/>
          <w:szCs w:val="16"/>
          <w:lang w:bidi="en-US"/>
        </w:rPr>
      </w:pPr>
      <w:bookmarkStart w:id="8" w:name="TABLE_VIOLATIONS"/>
      <w:r>
        <w:rPr>
          <w:rFonts w:ascii="Arial" w:hAnsi="Arial" w:cs="Arial"/>
          <w:b/>
          <w:sz w:val="16"/>
          <w:szCs w:val="16"/>
          <w:lang w:bidi="en-US"/>
        </w:rPr>
        <w:t>During the 2020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890"/>
        <w:gridCol w:w="4590"/>
        <w:gridCol w:w="3060"/>
      </w:tblGrid>
      <w:tr w:rsidR="000A581F" w:rsidTr="000A581F">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Violation Type</w:t>
            </w:r>
          </w:p>
        </w:tc>
        <w:tc>
          <w:tcPr>
            <w:tcW w:w="18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proofErr w:type="spellStart"/>
            <w:r>
              <w:rPr>
                <w:rFonts w:ascii="Arial" w:hAnsi="Arial" w:cs="Arial"/>
                <w:b/>
                <w:sz w:val="16"/>
                <w:szCs w:val="16"/>
                <w:lang w:bidi="en-US"/>
              </w:rPr>
              <w:t>Analyte</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0A581F" w:rsidTr="000A581F">
        <w:tc>
          <w:tcPr>
            <w:tcW w:w="13878" w:type="dxa"/>
            <w:gridSpan w:val="4"/>
            <w:tcBorders>
              <w:top w:val="single" w:sz="4" w:space="0" w:color="auto"/>
              <w:left w:val="single" w:sz="4" w:space="0" w:color="auto"/>
              <w:bottom w:val="single" w:sz="4" w:space="0" w:color="auto"/>
              <w:right w:val="single" w:sz="4" w:space="0" w:color="auto"/>
            </w:tcBorders>
            <w:vAlign w:val="center"/>
            <w:hideMark/>
          </w:tcPr>
          <w:p w:rsidR="000A581F" w:rsidRDefault="000A581F">
            <w:pPr>
              <w:spacing w:line="256" w:lineRule="auto"/>
              <w:rPr>
                <w:rFonts w:ascii="Arial" w:hAnsi="Arial" w:cs="Arial"/>
                <w:sz w:val="16"/>
                <w:szCs w:val="16"/>
                <w:lang w:bidi="en-US"/>
              </w:rPr>
            </w:pPr>
            <w:r>
              <w:rPr>
                <w:rFonts w:ascii="Arial" w:hAnsi="Arial" w:cs="Arial"/>
                <w:sz w:val="16"/>
                <w:szCs w:val="16"/>
                <w:lang w:bidi="en-US"/>
              </w:rPr>
              <w:t>No Violations Occurred in the Calendar Year of 2020</w:t>
            </w:r>
          </w:p>
        </w:tc>
      </w:tr>
    </w:tbl>
    <w:p w:rsidR="000A581F" w:rsidRDefault="000A581F" w:rsidP="000A581F">
      <w:pPr>
        <w:ind w:right="630"/>
        <w:rPr>
          <w:rFonts w:ascii="Arial" w:hAnsi="Arial" w:cs="Arial"/>
          <w:b/>
          <w:sz w:val="12"/>
          <w:szCs w:val="12"/>
          <w:lang w:bidi="en-US"/>
        </w:rPr>
      </w:pPr>
    </w:p>
    <w:p w:rsidR="000A581F" w:rsidRDefault="000A581F" w:rsidP="000A581F">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Oxford has taken the following actions to return to compliance with the Nebraska Safe Drinking Water Act:</w:t>
      </w:r>
    </w:p>
    <w:bookmarkEnd w:id="8"/>
    <w:p w:rsidR="000A581F" w:rsidRDefault="000A581F" w:rsidP="000A581F">
      <w:pPr>
        <w:rPr>
          <w:rFonts w:ascii="Arial" w:hAnsi="Arial" w:cs="Arial"/>
          <w:b/>
          <w:sz w:val="16"/>
          <w:szCs w:val="16"/>
          <w:lang w:bidi="en-US"/>
        </w:rPr>
      </w:pPr>
    </w:p>
    <w:p w:rsidR="000A581F" w:rsidRDefault="00F14476" w:rsidP="000A581F">
      <w:pPr>
        <w:rPr>
          <w:rFonts w:ascii="Arial" w:hAnsi="Arial" w:cs="Arial"/>
          <w:b/>
          <w:sz w:val="16"/>
          <w:szCs w:val="16"/>
          <w:lang w:bidi="en-US"/>
        </w:rPr>
      </w:pPr>
      <w:r>
        <w:t xml:space="preserve">This report will not be mailed </w:t>
      </w:r>
      <w:proofErr w:type="gramStart"/>
      <w:r>
        <w:t>out,</w:t>
      </w:r>
      <w:proofErr w:type="gramEnd"/>
      <w:r>
        <w:t xml:space="preserve"> copies are available at the Village Office at 326 Ogden (308-824-3511)</w:t>
      </w:r>
    </w:p>
    <w:p w:rsidR="000A581F" w:rsidRDefault="000A581F" w:rsidP="000A581F">
      <w:pPr>
        <w:rPr>
          <w:rFonts w:ascii="Arial" w:hAnsi="Arial" w:cs="Arial"/>
          <w:b/>
          <w:sz w:val="16"/>
          <w:szCs w:val="16"/>
          <w:lang w:bidi="en-US"/>
        </w:rPr>
      </w:pPr>
    </w:p>
    <w:p w:rsidR="000A581F" w:rsidRDefault="000A581F" w:rsidP="000A581F">
      <w:pPr>
        <w:rPr>
          <w:rFonts w:ascii="Arial" w:hAnsi="Arial" w:cs="Arial"/>
          <w:b/>
          <w:sz w:val="16"/>
          <w:szCs w:val="16"/>
          <w:lang w:bidi="en-US"/>
        </w:rPr>
      </w:pPr>
    </w:p>
    <w:p w:rsidR="000A581F" w:rsidRDefault="000A581F" w:rsidP="000A581F">
      <w:pPr>
        <w:rPr>
          <w:rFonts w:ascii="Arial" w:hAnsi="Arial" w:cs="Arial"/>
          <w:b/>
          <w:sz w:val="16"/>
          <w:szCs w:val="16"/>
          <w:lang w:bidi="en-US"/>
        </w:rPr>
      </w:pPr>
      <w:r>
        <w:rPr>
          <w:rFonts w:ascii="Arial" w:hAnsi="Arial" w:cs="Arial"/>
          <w:b/>
          <w:sz w:val="16"/>
          <w:szCs w:val="16"/>
          <w:lang w:bidi="en-US"/>
        </w:rPr>
        <w:t>Additional Required Health Effects Language:</w:t>
      </w:r>
    </w:p>
    <w:p w:rsidR="000A581F" w:rsidRDefault="000A581F" w:rsidP="000A581F">
      <w:pPr>
        <w:rPr>
          <w:rFonts w:ascii="Arial" w:hAnsi="Arial" w:cs="Arial"/>
          <w:b/>
          <w:sz w:val="16"/>
          <w:szCs w:val="16"/>
          <w:lang w:bidi="en-US"/>
        </w:rPr>
      </w:pPr>
    </w:p>
    <w:p w:rsidR="000A581F" w:rsidRDefault="000A581F" w:rsidP="000A581F">
      <w:pPr>
        <w:rPr>
          <w:rFonts w:ascii="Arial" w:hAnsi="Arial" w:cs="Arial"/>
          <w:b/>
          <w:sz w:val="16"/>
          <w:szCs w:val="16"/>
          <w:lang w:bidi="en-US"/>
        </w:rPr>
      </w:pPr>
      <w:r>
        <w:rPr>
          <w:rFonts w:ascii="Arial" w:hAnsi="Arial" w:cs="Arial"/>
          <w:b/>
          <w:sz w:val="16"/>
          <w:szCs w:val="16"/>
          <w:lang w:bidi="en-US"/>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0A581F" w:rsidRDefault="000A581F" w:rsidP="000A581F">
      <w:pPr>
        <w:rPr>
          <w:rFonts w:ascii="Arial" w:hAnsi="Arial" w:cs="Arial"/>
          <w:b/>
          <w:sz w:val="12"/>
          <w:szCs w:val="12"/>
          <w:lang w:bidi="en-US"/>
        </w:rPr>
      </w:pPr>
    </w:p>
    <w:p w:rsidR="000A581F" w:rsidRDefault="000A581F" w:rsidP="000A581F">
      <w:pPr>
        <w:rPr>
          <w:rFonts w:ascii="Arial" w:hAnsi="Arial" w:cs="Arial"/>
          <w:b/>
          <w:sz w:val="12"/>
          <w:szCs w:val="12"/>
          <w:lang w:bidi="en-US"/>
        </w:rPr>
      </w:pPr>
      <w:r>
        <w:rPr>
          <w:rFonts w:ascii="Arial" w:hAnsi="Arial" w:cs="Arial"/>
          <w:b/>
          <w:sz w:val="16"/>
          <w:szCs w:val="16"/>
          <w:lang w:bidi="en-US"/>
        </w:rPr>
        <w:t>There are no additional required health effects violation notices.</w:t>
      </w:r>
    </w:p>
    <w:sectPr w:rsidR="000A581F" w:rsidSect="001B5C73">
      <w:pgSz w:w="15840" w:h="12240" w:orient="landscape"/>
      <w:pgMar w:top="720" w:right="864" w:bottom="576"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F4" w:rsidRDefault="008F63F4" w:rsidP="000A581F">
      <w:r>
        <w:separator/>
      </w:r>
    </w:p>
  </w:endnote>
  <w:endnote w:type="continuationSeparator" w:id="0">
    <w:p w:rsidR="008F63F4" w:rsidRDefault="008F63F4" w:rsidP="000A5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F4" w:rsidRDefault="008F63F4" w:rsidP="000A581F">
      <w:r>
        <w:separator/>
      </w:r>
    </w:p>
  </w:footnote>
  <w:footnote w:type="continuationSeparator" w:id="0">
    <w:p w:rsidR="008F63F4" w:rsidRDefault="008F63F4" w:rsidP="000A5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1F" w:rsidRDefault="000A58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A581F"/>
    <w:rsid w:val="000A581F"/>
    <w:rsid w:val="000B5EB8"/>
    <w:rsid w:val="000E3651"/>
    <w:rsid w:val="001A706A"/>
    <w:rsid w:val="004F5839"/>
    <w:rsid w:val="007C35D9"/>
    <w:rsid w:val="008F63F4"/>
    <w:rsid w:val="00970F24"/>
    <w:rsid w:val="009B2ACA"/>
    <w:rsid w:val="00BE3A0B"/>
    <w:rsid w:val="00F14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1F"/>
    <w:pPr>
      <w:tabs>
        <w:tab w:val="center" w:pos="4680"/>
        <w:tab w:val="right" w:pos="9360"/>
      </w:tabs>
    </w:pPr>
  </w:style>
  <w:style w:type="character" w:customStyle="1" w:styleId="HeaderChar">
    <w:name w:val="Header Char"/>
    <w:basedOn w:val="DefaultParagraphFont"/>
    <w:link w:val="Header"/>
    <w:uiPriority w:val="99"/>
    <w:rsid w:val="000A581F"/>
  </w:style>
  <w:style w:type="paragraph" w:styleId="Footer">
    <w:name w:val="footer"/>
    <w:basedOn w:val="Normal"/>
    <w:link w:val="FooterChar"/>
    <w:uiPriority w:val="99"/>
    <w:unhideWhenUsed/>
    <w:rsid w:val="000A581F"/>
    <w:pPr>
      <w:tabs>
        <w:tab w:val="center" w:pos="4680"/>
        <w:tab w:val="right" w:pos="9360"/>
      </w:tabs>
    </w:pPr>
  </w:style>
  <w:style w:type="character" w:customStyle="1" w:styleId="FooterChar">
    <w:name w:val="Footer Char"/>
    <w:basedOn w:val="DefaultParagraphFont"/>
    <w:link w:val="Footer"/>
    <w:uiPriority w:val="99"/>
    <w:rsid w:val="000A581F"/>
  </w:style>
  <w:style w:type="character" w:styleId="Hyperlink">
    <w:name w:val="Hyperlink"/>
    <w:uiPriority w:val="99"/>
    <w:semiHidden/>
    <w:unhideWhenUsed/>
    <w:rsid w:val="000A581F"/>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4F5839"/>
    <w:rPr>
      <w:rFonts w:ascii="Tahoma" w:hAnsi="Tahoma" w:cs="Tahoma"/>
      <w:sz w:val="16"/>
      <w:szCs w:val="16"/>
    </w:rPr>
  </w:style>
  <w:style w:type="character" w:customStyle="1" w:styleId="BalloonTextChar">
    <w:name w:val="Balloon Text Char"/>
    <w:basedOn w:val="DefaultParagraphFont"/>
    <w:link w:val="BalloonText"/>
    <w:uiPriority w:val="99"/>
    <w:semiHidden/>
    <w:rsid w:val="004F5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q.state.ne.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1831</Words>
  <Characters>10443</Characters>
  <Application>Microsoft Office Word</Application>
  <DocSecurity>0</DocSecurity>
  <Lines>87</Lines>
  <Paragraphs>24</Paragraphs>
  <ScaleCrop>false</ScaleCrop>
  <Company>State of Nebraska</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Fox</dc:creator>
  <cp:lastModifiedBy>Ed</cp:lastModifiedBy>
  <cp:revision>3</cp:revision>
  <dcterms:created xsi:type="dcterms:W3CDTF">2021-04-01T16:17:00Z</dcterms:created>
  <dcterms:modified xsi:type="dcterms:W3CDTF">2021-04-01T16:24:00Z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-1779778510</vt:i4>
  </property>
  <property fmtid="{D5CDD505-2E9C-101B-9397-08002B2CF9AE}" pid="3" name="_NewReviewCycle">
    <vt:lpwstr/>
  </property>
  <property fmtid="{D5CDD505-2E9C-101B-9397-08002B2CF9AE}" pid="4" name="_EmailSubject">
    <vt:lpwstr>CCR</vt:lpwstr>
  </property>
  <property fmtid="{D5CDD505-2E9C-101B-9397-08002B2CF9AE}" pid="5" name="_AuthorEmail">
    <vt:lpwstr>David.Fox@nebraska.gov</vt:lpwstr>
  </property>
  <property fmtid="{D5CDD505-2E9C-101B-9397-08002B2CF9AE}" pid="6" name="_AuthorEmailDisplayName">
    <vt:lpwstr>Fox, David</vt:lpwstr>
  </property>
  <property fmtid="{D5CDD505-2E9C-101B-9397-08002B2CF9AE}" pid="7" name="_ReviewingToolsShownOnce">
    <vt:lpwstr/>
  </property>
</Properties>
</file>